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"/>
        <w:gridCol w:w="659"/>
        <w:gridCol w:w="593"/>
        <w:gridCol w:w="485"/>
        <w:gridCol w:w="620"/>
        <w:gridCol w:w="593"/>
        <w:gridCol w:w="1157"/>
        <w:gridCol w:w="3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科室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专业或研究方向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微创科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助理医师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40岁以下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中医学类、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中西医结合类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肾病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风湿科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血透医师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40岁以下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主治医师以上职称，熟练掌握血液净化技术，擅长血管通路的建立与维护。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急救站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中西医临床医学、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限高校毕业生报名。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从事院前急救出诊工作，适合男性。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病区护士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内科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助理护士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病区护士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外科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助理护士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助理护士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检验科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A1592"/>
    <w:rsid w:val="174A1592"/>
    <w:rsid w:val="29F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2021-04-27T02:59:00Z</dcterms:created>
  <dc:creator>蛮头苦干</dc:creator>
  <cp:lastModifiedBy>蛮头苦干</cp:lastModifiedBy>
  <dcterms:modified xsi:type="dcterms:W3CDTF">2021-04-27T03:05:07Z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